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F27D" w14:textId="33E78F38" w:rsidR="003A6410" w:rsidRPr="00B864A2" w:rsidRDefault="00B864A2" w:rsidP="00B864A2">
      <w:pPr>
        <w:ind w:left="-1440"/>
        <w:rPr>
          <w:b/>
          <w:bCs/>
        </w:rPr>
        <w:sectPr w:rsidR="003A6410" w:rsidRPr="00B864A2" w:rsidSect="003A6410">
          <w:footerReference w:type="default" r:id="rId7"/>
          <w:pgSz w:w="12240" w:h="15840"/>
          <w:pgMar w:top="0" w:right="1440" w:bottom="1440" w:left="1440" w:header="720" w:footer="720" w:gutter="0"/>
          <w:cols w:space="720"/>
          <w:docGrid w:linePitch="360"/>
        </w:sectPr>
      </w:pPr>
      <w:r w:rsidRPr="00B864A2">
        <w:rPr>
          <w:b/>
          <w:bCs/>
          <w:noProof/>
        </w:rPr>
        <w:drawing>
          <wp:inline distT="0" distB="0" distL="0" distR="0" wp14:anchorId="392052CB" wp14:editId="118E64F0">
            <wp:extent cx="7772400" cy="1055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723" cy="10566564"/>
                    </a:xfrm>
                    <a:prstGeom prst="rect">
                      <a:avLst/>
                    </a:prstGeom>
                    <a:noFill/>
                  </pic:spPr>
                </pic:pic>
              </a:graphicData>
            </a:graphic>
          </wp:inline>
        </w:drawing>
      </w:r>
    </w:p>
    <w:p w14:paraId="6705A356" w14:textId="77777777" w:rsidR="003A6410" w:rsidRDefault="003A6410" w:rsidP="003A6410">
      <w:pPr>
        <w:pStyle w:val="Heading1"/>
        <w:rPr>
          <w:color w:val="003F60"/>
        </w:rPr>
      </w:pPr>
      <w:r>
        <w:rPr>
          <w:color w:val="003F60"/>
        </w:rPr>
        <w:lastRenderedPageBreak/>
        <w:t xml:space="preserve">Effective Assessment Data Management (EADM) - Essential Question (EQ) 21 Documentation </w:t>
      </w:r>
    </w:p>
    <w:p w14:paraId="5E57F86D" w14:textId="3308E937" w:rsidR="003A6410" w:rsidRDefault="00925057" w:rsidP="00925057">
      <w:pPr>
        <w:tabs>
          <w:tab w:val="left" w:pos="7950"/>
        </w:tabs>
        <w:rPr>
          <w:color w:val="333333"/>
          <w:highlight w:val="white"/>
        </w:rPr>
      </w:pPr>
      <w:r>
        <w:rPr>
          <w:color w:val="333333"/>
          <w:highlight w:val="white"/>
        </w:rPr>
        <w:tab/>
      </w:r>
    </w:p>
    <w:p w14:paraId="6FE253CC" w14:textId="00C629F6" w:rsidR="003A6410" w:rsidRDefault="003A6410" w:rsidP="003A6410">
      <w:pPr>
        <w:spacing w:line="276" w:lineRule="auto"/>
        <w:rPr>
          <w:color w:val="333333"/>
          <w:highlight w:val="white"/>
        </w:rPr>
      </w:pPr>
      <w:r>
        <w:rPr>
          <w:color w:val="333333"/>
          <w:highlight w:val="white"/>
        </w:rPr>
        <w:t xml:space="preserve">The documents within this folder provide information required to design the EQ 21 visuals using the </w:t>
      </w:r>
      <w:r w:rsidR="00CE26F2">
        <w:rPr>
          <w:color w:val="333333"/>
          <w:highlight w:val="white"/>
        </w:rPr>
        <w:t>Ed-Fi ODS</w:t>
      </w:r>
      <w:r w:rsidR="00537BCF">
        <w:rPr>
          <w:color w:val="333333"/>
          <w:highlight w:val="white"/>
        </w:rPr>
        <w:t>/API</w:t>
      </w:r>
      <w:r w:rsidR="00CE26F2">
        <w:rPr>
          <w:color w:val="333333"/>
          <w:highlight w:val="white"/>
        </w:rPr>
        <w:t xml:space="preserve"> v3</w:t>
      </w:r>
      <w:r w:rsidR="00537BCF">
        <w:rPr>
          <w:color w:val="333333"/>
          <w:highlight w:val="white"/>
        </w:rPr>
        <w:t xml:space="preserve"> on </w:t>
      </w:r>
      <w:r>
        <w:rPr>
          <w:color w:val="333333"/>
          <w:highlight w:val="white"/>
        </w:rPr>
        <w:t xml:space="preserve">Microsoft SQL Server and SQL SRS (Server Reporting Services). The information ranges from design decisions to analytic guidelines. The intended audiences for these documents are education organization leaders in the areas of technology, data governance, and/or assessment.  </w:t>
      </w:r>
    </w:p>
    <w:p w14:paraId="58B5B005" w14:textId="77777777" w:rsidR="003A6410" w:rsidRDefault="003A6410" w:rsidP="003A6410">
      <w:pPr>
        <w:spacing w:line="276" w:lineRule="auto"/>
        <w:rPr>
          <w:color w:val="333333"/>
          <w:highlight w:val="white"/>
        </w:rPr>
      </w:pPr>
    </w:p>
    <w:p w14:paraId="4D2E93D8" w14:textId="77777777" w:rsidR="003A6410" w:rsidRDefault="003A6410" w:rsidP="003A6410">
      <w:pPr>
        <w:spacing w:after="240" w:line="276" w:lineRule="auto"/>
        <w:rPr>
          <w:color w:val="333333"/>
          <w:highlight w:val="white"/>
        </w:rPr>
      </w:pPr>
      <w:r>
        <w:rPr>
          <w:color w:val="333333"/>
          <w:highlight w:val="white"/>
        </w:rPr>
        <w:t>This documentation intends to encourage and support the following structured process:</w:t>
      </w:r>
    </w:p>
    <w:p w14:paraId="0EEAB21E" w14:textId="77777777" w:rsidR="003A6410" w:rsidRDefault="003A6410" w:rsidP="003A6410">
      <w:pPr>
        <w:numPr>
          <w:ilvl w:val="0"/>
          <w:numId w:val="2"/>
        </w:numPr>
        <w:spacing w:before="120" w:after="0" w:line="276" w:lineRule="auto"/>
        <w:rPr>
          <w:color w:val="333333"/>
          <w:highlight w:val="white"/>
        </w:rPr>
      </w:pPr>
      <w:r>
        <w:rPr>
          <w:color w:val="333333"/>
          <w:highlight w:val="white"/>
        </w:rPr>
        <w:t>Form a cross-functional work team with the knowledge of assessment, data (assessment, scheduling and course) and technology staff</w:t>
      </w:r>
    </w:p>
    <w:p w14:paraId="5CBFEAE9" w14:textId="77777777" w:rsidR="003A6410" w:rsidRDefault="003A6410" w:rsidP="003A6410">
      <w:pPr>
        <w:numPr>
          <w:ilvl w:val="0"/>
          <w:numId w:val="2"/>
        </w:numPr>
        <w:spacing w:after="0" w:line="276" w:lineRule="auto"/>
        <w:rPr>
          <w:color w:val="333333"/>
          <w:highlight w:val="white"/>
        </w:rPr>
      </w:pPr>
      <w:r>
        <w:rPr>
          <w:color w:val="333333"/>
          <w:highlight w:val="white"/>
        </w:rPr>
        <w:t xml:space="preserve">Adopt the EQ 21 and modify use case to accommodate your context, if needed </w:t>
      </w:r>
    </w:p>
    <w:p w14:paraId="49A3C775" w14:textId="77777777" w:rsidR="003A6410" w:rsidRDefault="003A6410" w:rsidP="003A6410">
      <w:pPr>
        <w:numPr>
          <w:ilvl w:val="0"/>
          <w:numId w:val="2"/>
        </w:numPr>
        <w:spacing w:after="0" w:line="276" w:lineRule="auto"/>
        <w:rPr>
          <w:color w:val="333333"/>
          <w:highlight w:val="white"/>
        </w:rPr>
      </w:pPr>
      <w:r>
        <w:rPr>
          <w:color w:val="333333"/>
          <w:highlight w:val="white"/>
        </w:rPr>
        <w:t>Determine and catalog the analytic decisions for the visual</w:t>
      </w:r>
    </w:p>
    <w:p w14:paraId="2B27B30A" w14:textId="77777777" w:rsidR="003A6410" w:rsidRDefault="003A6410" w:rsidP="003A6410">
      <w:pPr>
        <w:numPr>
          <w:ilvl w:val="0"/>
          <w:numId w:val="2"/>
        </w:numPr>
        <w:spacing w:after="0" w:line="276" w:lineRule="auto"/>
        <w:rPr>
          <w:color w:val="333333"/>
          <w:highlight w:val="white"/>
        </w:rPr>
      </w:pPr>
      <w:r>
        <w:rPr>
          <w:color w:val="333333"/>
          <w:highlight w:val="white"/>
        </w:rPr>
        <w:t>Design the visual</w:t>
      </w:r>
    </w:p>
    <w:p w14:paraId="2D0C50D0" w14:textId="77777777" w:rsidR="003A6410" w:rsidRDefault="003A6410" w:rsidP="003A6410">
      <w:pPr>
        <w:numPr>
          <w:ilvl w:val="0"/>
          <w:numId w:val="2"/>
        </w:numPr>
        <w:spacing w:after="0" w:line="276" w:lineRule="auto"/>
        <w:rPr>
          <w:color w:val="333333"/>
          <w:highlight w:val="white"/>
        </w:rPr>
      </w:pPr>
      <w:r>
        <w:rPr>
          <w:rFonts w:ascii="Times New Roman" w:eastAsia="Times New Roman" w:hAnsi="Times New Roman" w:cs="Times New Roman"/>
          <w:color w:val="333333"/>
          <w:sz w:val="14"/>
          <w:szCs w:val="14"/>
          <w:highlight w:val="white"/>
        </w:rPr>
        <w:t xml:space="preserve"> </w:t>
      </w:r>
      <w:r>
        <w:rPr>
          <w:color w:val="333333"/>
          <w:highlight w:val="white"/>
        </w:rPr>
        <w:t>Identify assessment and sources systems for cross-assessment analysis</w:t>
      </w:r>
    </w:p>
    <w:p w14:paraId="4C850EA8" w14:textId="77777777" w:rsidR="003A6410" w:rsidRDefault="003A6410" w:rsidP="003A6410">
      <w:pPr>
        <w:numPr>
          <w:ilvl w:val="0"/>
          <w:numId w:val="2"/>
        </w:numPr>
        <w:spacing w:after="0" w:line="276" w:lineRule="auto"/>
        <w:rPr>
          <w:color w:val="333333"/>
          <w:highlight w:val="white"/>
        </w:rPr>
      </w:pPr>
      <w:r>
        <w:rPr>
          <w:color w:val="333333"/>
          <w:highlight w:val="white"/>
        </w:rPr>
        <w:t>Confirm the data mapping and the content for the visual</w:t>
      </w:r>
    </w:p>
    <w:p w14:paraId="27902DBB" w14:textId="77777777" w:rsidR="003A6410" w:rsidRDefault="003A6410" w:rsidP="003A6410">
      <w:pPr>
        <w:numPr>
          <w:ilvl w:val="0"/>
          <w:numId w:val="2"/>
        </w:numPr>
        <w:spacing w:after="0" w:line="276" w:lineRule="auto"/>
        <w:rPr>
          <w:color w:val="333333"/>
          <w:highlight w:val="white"/>
        </w:rPr>
      </w:pPr>
      <w:r>
        <w:rPr>
          <w:color w:val="333333"/>
          <w:highlight w:val="white"/>
        </w:rPr>
        <w:t xml:space="preserve">Load the data </w:t>
      </w:r>
    </w:p>
    <w:p w14:paraId="61372B95" w14:textId="77777777" w:rsidR="003A6410" w:rsidRDefault="003A6410" w:rsidP="003A6410">
      <w:pPr>
        <w:numPr>
          <w:ilvl w:val="0"/>
          <w:numId w:val="2"/>
        </w:numPr>
        <w:spacing w:after="0" w:line="276" w:lineRule="auto"/>
        <w:rPr>
          <w:color w:val="333333"/>
          <w:highlight w:val="white"/>
        </w:rPr>
      </w:pPr>
      <w:bookmarkStart w:id="1" w:name="_gjdgxs" w:colFirst="0" w:colLast="0"/>
      <w:bookmarkEnd w:id="1"/>
      <w:r>
        <w:rPr>
          <w:rFonts w:ascii="Times New Roman" w:eastAsia="Times New Roman" w:hAnsi="Times New Roman" w:cs="Times New Roman"/>
          <w:color w:val="333333"/>
          <w:sz w:val="14"/>
          <w:szCs w:val="14"/>
          <w:highlight w:val="white"/>
        </w:rPr>
        <w:t xml:space="preserve"> </w:t>
      </w:r>
      <w:r>
        <w:rPr>
          <w:color w:val="333333"/>
          <w:highlight w:val="white"/>
        </w:rPr>
        <w:t>Implement views for data access</w:t>
      </w:r>
    </w:p>
    <w:p w14:paraId="1C8FEC5E" w14:textId="77777777" w:rsidR="003A6410" w:rsidRDefault="003A6410" w:rsidP="003A6410">
      <w:pPr>
        <w:rPr>
          <w:color w:val="333333"/>
          <w:highlight w:val="white"/>
        </w:rPr>
      </w:pPr>
    </w:p>
    <w:p w14:paraId="586B8194" w14:textId="77777777" w:rsidR="003A6410" w:rsidRDefault="003A6410" w:rsidP="003A6410">
      <w:pPr>
        <w:rPr>
          <w:color w:val="333333"/>
          <w:highlight w:val="white"/>
        </w:rPr>
      </w:pPr>
      <w:r>
        <w:rPr>
          <w:color w:val="333333"/>
          <w:highlight w:val="white"/>
        </w:rPr>
        <w:t xml:space="preserve">The information is organized into both technical and functional manuals. Some manuals divided further into parts sections to address specific details. </w:t>
      </w:r>
    </w:p>
    <w:p w14:paraId="2F56E3C8" w14:textId="77777777" w:rsidR="003A6410" w:rsidRDefault="003A6410" w:rsidP="003A6410">
      <w:pPr>
        <w:rPr>
          <w:color w:val="333333"/>
          <w:highlight w:val="white"/>
        </w:rPr>
      </w:pPr>
    </w:p>
    <w:tbl>
      <w:tblPr>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5675"/>
        <w:gridCol w:w="1080"/>
        <w:gridCol w:w="1260"/>
      </w:tblGrid>
      <w:tr w:rsidR="003A6410" w14:paraId="20A49809" w14:textId="77777777" w:rsidTr="003A6410">
        <w:trPr>
          <w:trHeight w:val="465"/>
        </w:trPr>
        <w:tc>
          <w:tcPr>
            <w:tcW w:w="187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36D4167" w14:textId="77777777" w:rsidR="003A6410" w:rsidRDefault="003A6410" w:rsidP="00247FE9">
            <w:pPr>
              <w:rPr>
                <w:b/>
                <w:highlight w:val="white"/>
              </w:rPr>
            </w:pPr>
            <w:r>
              <w:rPr>
                <w:b/>
                <w:highlight w:val="white"/>
              </w:rPr>
              <w:t>Document</w:t>
            </w:r>
          </w:p>
        </w:tc>
        <w:tc>
          <w:tcPr>
            <w:tcW w:w="5675"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172ECC8" w14:textId="77777777" w:rsidR="003A6410" w:rsidRDefault="003A6410" w:rsidP="00247FE9">
            <w:pPr>
              <w:rPr>
                <w:b/>
                <w:highlight w:val="white"/>
              </w:rPr>
            </w:pPr>
            <w:r>
              <w:rPr>
                <w:b/>
                <w:highlight w:val="white"/>
              </w:rPr>
              <w:t>Description</w:t>
            </w:r>
          </w:p>
        </w:tc>
        <w:tc>
          <w:tcPr>
            <w:tcW w:w="1080"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0F25866" w14:textId="77777777" w:rsidR="003A6410" w:rsidRDefault="003A6410" w:rsidP="00247FE9">
            <w:pPr>
              <w:rPr>
                <w:b/>
                <w:highlight w:val="white"/>
              </w:rPr>
            </w:pPr>
            <w:r>
              <w:rPr>
                <w:b/>
                <w:highlight w:val="white"/>
              </w:rPr>
              <w:t>Technical</w:t>
            </w:r>
          </w:p>
        </w:tc>
        <w:tc>
          <w:tcPr>
            <w:tcW w:w="1260"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C360D2E" w14:textId="77777777" w:rsidR="003A6410" w:rsidRDefault="003A6410" w:rsidP="00247FE9">
            <w:pPr>
              <w:rPr>
                <w:b/>
                <w:highlight w:val="white"/>
              </w:rPr>
            </w:pPr>
            <w:r>
              <w:rPr>
                <w:b/>
                <w:highlight w:val="white"/>
              </w:rPr>
              <w:t>Functional</w:t>
            </w:r>
          </w:p>
        </w:tc>
      </w:tr>
      <w:tr w:rsidR="003A6410" w14:paraId="08BAE62C" w14:textId="77777777" w:rsidTr="003A6410">
        <w:trPr>
          <w:trHeight w:val="1230"/>
        </w:trPr>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945DE" w14:textId="77777777" w:rsidR="003A6410" w:rsidRDefault="003A6410" w:rsidP="00247FE9">
            <w:pPr>
              <w:rPr>
                <w:highlight w:val="white"/>
              </w:rPr>
            </w:pPr>
            <w:r>
              <w:rPr>
                <w:highlight w:val="white"/>
              </w:rPr>
              <w:t>Use Case</w:t>
            </w:r>
          </w:p>
        </w:tc>
        <w:tc>
          <w:tcPr>
            <w:tcW w:w="5675" w:type="dxa"/>
            <w:tcBorders>
              <w:bottom w:val="single" w:sz="8" w:space="0" w:color="000000"/>
              <w:right w:val="single" w:sz="8" w:space="0" w:color="000000"/>
            </w:tcBorders>
            <w:tcMar>
              <w:top w:w="100" w:type="dxa"/>
              <w:left w:w="100" w:type="dxa"/>
              <w:bottom w:w="100" w:type="dxa"/>
              <w:right w:w="100" w:type="dxa"/>
            </w:tcMar>
          </w:tcPr>
          <w:p w14:paraId="12AA431F" w14:textId="77777777" w:rsidR="003A6410" w:rsidRDefault="003A6410" w:rsidP="00247FE9">
            <w:pPr>
              <w:rPr>
                <w:highlight w:val="white"/>
              </w:rPr>
            </w:pPr>
            <w:r>
              <w:rPr>
                <w:highlight w:val="white"/>
              </w:rPr>
              <w:t xml:space="preserve">Describes a real-world example of how people or organizations interact with a process, situation or system. The basic strategy is to identify a scenario for the current and desired future state. </w:t>
            </w:r>
          </w:p>
        </w:tc>
        <w:tc>
          <w:tcPr>
            <w:tcW w:w="1080" w:type="dxa"/>
            <w:tcBorders>
              <w:bottom w:val="single" w:sz="8" w:space="0" w:color="000000"/>
              <w:right w:val="single" w:sz="8" w:space="0" w:color="000000"/>
            </w:tcBorders>
            <w:tcMar>
              <w:top w:w="100" w:type="dxa"/>
              <w:left w:w="100" w:type="dxa"/>
              <w:bottom w:w="100" w:type="dxa"/>
              <w:right w:w="100" w:type="dxa"/>
            </w:tcMar>
          </w:tcPr>
          <w:p w14:paraId="28DDBE33" w14:textId="77777777" w:rsidR="003A6410" w:rsidRDefault="003A6410" w:rsidP="00247FE9">
            <w:pPr>
              <w:jc w:val="center"/>
              <w:rPr>
                <w:highlight w:val="white"/>
              </w:rPr>
            </w:pPr>
            <w:r>
              <w:rPr>
                <w:highlight w:val="white"/>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5DD67E5F" w14:textId="77777777" w:rsidR="003A6410" w:rsidRDefault="003A6410" w:rsidP="00247FE9">
            <w:pPr>
              <w:jc w:val="center"/>
              <w:rPr>
                <w:highlight w:val="white"/>
              </w:rPr>
            </w:pPr>
            <w:r>
              <w:rPr>
                <w:highlight w:val="white"/>
              </w:rPr>
              <w:t>X</w:t>
            </w:r>
          </w:p>
        </w:tc>
      </w:tr>
      <w:tr w:rsidR="003A6410" w14:paraId="57AC4911" w14:textId="77777777" w:rsidTr="003A6410">
        <w:trPr>
          <w:trHeight w:val="720"/>
        </w:trPr>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CC96E" w14:textId="77777777" w:rsidR="003A6410" w:rsidRDefault="003A6410" w:rsidP="00247FE9">
            <w:pPr>
              <w:rPr>
                <w:highlight w:val="white"/>
              </w:rPr>
            </w:pPr>
            <w:r>
              <w:rPr>
                <w:highlight w:val="white"/>
              </w:rPr>
              <w:t>Mockup of visuals</w:t>
            </w:r>
          </w:p>
        </w:tc>
        <w:tc>
          <w:tcPr>
            <w:tcW w:w="5675" w:type="dxa"/>
            <w:tcBorders>
              <w:bottom w:val="single" w:sz="8" w:space="0" w:color="000000"/>
              <w:right w:val="single" w:sz="8" w:space="0" w:color="000000"/>
            </w:tcBorders>
            <w:tcMar>
              <w:top w:w="100" w:type="dxa"/>
              <w:left w:w="100" w:type="dxa"/>
              <w:bottom w:w="100" w:type="dxa"/>
              <w:right w:w="100" w:type="dxa"/>
            </w:tcMar>
          </w:tcPr>
          <w:p w14:paraId="3C683137" w14:textId="77777777" w:rsidR="003A6410" w:rsidRDefault="003A6410" w:rsidP="00247FE9">
            <w:pPr>
              <w:rPr>
                <w:highlight w:val="white"/>
              </w:rPr>
            </w:pPr>
            <w:r>
              <w:rPr>
                <w:highlight w:val="white"/>
              </w:rPr>
              <w:t xml:space="preserve">Describes the how the data is displayed to answer the essential question </w:t>
            </w:r>
          </w:p>
        </w:tc>
        <w:tc>
          <w:tcPr>
            <w:tcW w:w="1080" w:type="dxa"/>
            <w:tcBorders>
              <w:bottom w:val="single" w:sz="8" w:space="0" w:color="000000"/>
              <w:right w:val="single" w:sz="8" w:space="0" w:color="000000"/>
            </w:tcBorders>
            <w:tcMar>
              <w:top w:w="100" w:type="dxa"/>
              <w:left w:w="100" w:type="dxa"/>
              <w:bottom w:w="100" w:type="dxa"/>
              <w:right w:w="100" w:type="dxa"/>
            </w:tcMar>
          </w:tcPr>
          <w:p w14:paraId="0434E3ED" w14:textId="77777777" w:rsidR="003A6410" w:rsidRDefault="003A6410" w:rsidP="00247FE9">
            <w:pPr>
              <w:jc w:val="center"/>
              <w:rPr>
                <w:highlight w:val="white"/>
              </w:rPr>
            </w:pPr>
            <w:r>
              <w:rPr>
                <w:highlight w:val="white"/>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7C189F82" w14:textId="77777777" w:rsidR="003A6410" w:rsidRDefault="003A6410" w:rsidP="00247FE9">
            <w:pPr>
              <w:jc w:val="center"/>
              <w:rPr>
                <w:highlight w:val="white"/>
              </w:rPr>
            </w:pPr>
            <w:r>
              <w:rPr>
                <w:highlight w:val="white"/>
              </w:rPr>
              <w:t>X</w:t>
            </w:r>
          </w:p>
        </w:tc>
      </w:tr>
      <w:tr w:rsidR="00A56F14" w14:paraId="4607DE09" w14:textId="77777777" w:rsidTr="003A6410">
        <w:trPr>
          <w:trHeight w:val="720"/>
        </w:trPr>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5B271" w14:textId="3F08FD7B" w:rsidR="00A56F14" w:rsidRDefault="00A56F14" w:rsidP="00247FE9">
            <w:pPr>
              <w:rPr>
                <w:highlight w:val="white"/>
              </w:rPr>
            </w:pPr>
            <w:r w:rsidRPr="00A56F14">
              <w:t>Lessons Learned</w:t>
            </w:r>
          </w:p>
        </w:tc>
        <w:tc>
          <w:tcPr>
            <w:tcW w:w="5675" w:type="dxa"/>
            <w:tcBorders>
              <w:bottom w:val="single" w:sz="8" w:space="0" w:color="000000"/>
              <w:right w:val="single" w:sz="8" w:space="0" w:color="000000"/>
            </w:tcBorders>
            <w:tcMar>
              <w:top w:w="100" w:type="dxa"/>
              <w:left w:w="100" w:type="dxa"/>
              <w:bottom w:w="100" w:type="dxa"/>
              <w:right w:w="100" w:type="dxa"/>
            </w:tcMar>
          </w:tcPr>
          <w:p w14:paraId="627B5CB6" w14:textId="24FC4A8A" w:rsidR="00A56F14" w:rsidRDefault="00A56F14" w:rsidP="00247FE9">
            <w:pPr>
              <w:rPr>
                <w:highlight w:val="white"/>
              </w:rPr>
            </w:pPr>
            <w:r w:rsidRPr="00A56F14">
              <w:t>Describes knowledge or understanding gained by experience.</w:t>
            </w:r>
          </w:p>
        </w:tc>
        <w:tc>
          <w:tcPr>
            <w:tcW w:w="1080" w:type="dxa"/>
            <w:tcBorders>
              <w:bottom w:val="single" w:sz="8" w:space="0" w:color="000000"/>
              <w:right w:val="single" w:sz="8" w:space="0" w:color="000000"/>
            </w:tcBorders>
            <w:tcMar>
              <w:top w:w="100" w:type="dxa"/>
              <w:left w:w="100" w:type="dxa"/>
              <w:bottom w:w="100" w:type="dxa"/>
              <w:right w:w="100" w:type="dxa"/>
            </w:tcMar>
          </w:tcPr>
          <w:p w14:paraId="31A08CC8" w14:textId="46B6731E" w:rsidR="00A56F14" w:rsidRDefault="00A56F14" w:rsidP="00247FE9">
            <w:pPr>
              <w:jc w:val="center"/>
              <w:rPr>
                <w:highlight w:val="white"/>
              </w:rPr>
            </w:pPr>
            <w:r w:rsidRPr="00A56F14">
              <w:t>X</w:t>
            </w:r>
          </w:p>
        </w:tc>
        <w:tc>
          <w:tcPr>
            <w:tcW w:w="1260" w:type="dxa"/>
            <w:tcBorders>
              <w:bottom w:val="single" w:sz="8" w:space="0" w:color="000000"/>
              <w:right w:val="single" w:sz="8" w:space="0" w:color="000000"/>
            </w:tcBorders>
            <w:tcMar>
              <w:top w:w="100" w:type="dxa"/>
              <w:left w:w="100" w:type="dxa"/>
              <w:bottom w:w="100" w:type="dxa"/>
              <w:right w:w="100" w:type="dxa"/>
            </w:tcMar>
          </w:tcPr>
          <w:p w14:paraId="7745A640" w14:textId="3A9D9F1D" w:rsidR="00A56F14" w:rsidRDefault="00A56F14" w:rsidP="00247FE9">
            <w:pPr>
              <w:jc w:val="center"/>
              <w:rPr>
                <w:highlight w:val="white"/>
              </w:rPr>
            </w:pPr>
            <w:r w:rsidRPr="00A56F14">
              <w:t>X</w:t>
            </w:r>
          </w:p>
        </w:tc>
      </w:tr>
      <w:tr w:rsidR="003A6410" w14:paraId="77FF0C93" w14:textId="77777777" w:rsidTr="003A6410">
        <w:trPr>
          <w:trHeight w:val="975"/>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31991" w14:textId="77777777" w:rsidR="003A6410" w:rsidRDefault="003A6410" w:rsidP="00247FE9">
            <w:pPr>
              <w:rPr>
                <w:highlight w:val="white"/>
              </w:rPr>
            </w:pPr>
            <w:r>
              <w:rPr>
                <w:highlight w:val="white"/>
              </w:rPr>
              <w:lastRenderedPageBreak/>
              <w:t xml:space="preserve">Technical Guide </w:t>
            </w:r>
          </w:p>
        </w:tc>
        <w:tc>
          <w:tcPr>
            <w:tcW w:w="5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1B4317" w14:textId="77777777" w:rsidR="003A6410" w:rsidRDefault="003A6410" w:rsidP="00247FE9">
            <w:pPr>
              <w:rPr>
                <w:highlight w:val="white"/>
              </w:rPr>
            </w:pPr>
            <w:r>
              <w:rPr>
                <w:highlight w:val="white"/>
              </w:rPr>
              <w:t xml:space="preserve">Contains the SSRS code, along </w:t>
            </w:r>
            <w:r w:rsidR="00C74885">
              <w:rPr>
                <w:highlight w:val="white"/>
              </w:rPr>
              <w:t xml:space="preserve">with </w:t>
            </w:r>
            <w:r>
              <w:rPr>
                <w:highlight w:val="white"/>
              </w:rPr>
              <w:t>the file o</w:t>
            </w:r>
            <w:r w:rsidR="00C74885">
              <w:rPr>
                <w:highlight w:val="white"/>
              </w:rPr>
              <w:t>f</w:t>
            </w:r>
            <w:r>
              <w:rPr>
                <w:highlight w:val="white"/>
              </w:rPr>
              <w:t xml:space="preserve"> database structures and other documents required to produce the visual.</w:t>
            </w:r>
          </w:p>
          <w:p w14:paraId="01A8BD73" w14:textId="48D98FF7" w:rsidR="00C74885" w:rsidRDefault="00C74885" w:rsidP="00247FE9">
            <w:pPr>
              <w:rPr>
                <w:highlight w:val="white"/>
              </w:rPr>
            </w:pPr>
            <w:r>
              <w:t xml:space="preserve">There are </w:t>
            </w:r>
            <w:r w:rsidRPr="00C74885">
              <w:t>three</w:t>
            </w:r>
            <w:r>
              <w:t xml:space="preserve"> rdl</w:t>
            </w:r>
            <w:r w:rsidRPr="00C74885">
              <w:t xml:space="preserve"> files</w:t>
            </w:r>
            <w:r>
              <w:t xml:space="preserve"> for use </w:t>
            </w:r>
            <w:r w:rsidRPr="00C74885">
              <w:t>by anyone with SQL Server installed.</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789C39" w14:textId="77777777" w:rsidR="003A6410" w:rsidRDefault="003A6410" w:rsidP="00247FE9">
            <w:pPr>
              <w:jc w:val="center"/>
              <w:rPr>
                <w:highlight w:val="white"/>
              </w:rPr>
            </w:pPr>
            <w:r>
              <w:rPr>
                <w:highlight w:val="white"/>
              </w:rPr>
              <w:t>X</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E206F" w14:textId="77777777" w:rsidR="003A6410" w:rsidRDefault="003A6410" w:rsidP="00247FE9">
            <w:pPr>
              <w:jc w:val="center"/>
              <w:rPr>
                <w:highlight w:val="white"/>
              </w:rPr>
            </w:pPr>
            <w:r>
              <w:rPr>
                <w:highlight w:val="white"/>
              </w:rPr>
              <w:t xml:space="preserve"> </w:t>
            </w:r>
          </w:p>
        </w:tc>
      </w:tr>
      <w:tr w:rsidR="003A6410" w14:paraId="4F4623D4" w14:textId="77777777" w:rsidTr="003A6410">
        <w:trPr>
          <w:trHeight w:val="1485"/>
        </w:trPr>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9263D5" w14:textId="77777777" w:rsidR="003A6410" w:rsidRDefault="003A6410" w:rsidP="00247FE9">
            <w:pPr>
              <w:rPr>
                <w:highlight w:val="white"/>
              </w:rPr>
            </w:pPr>
            <w:r>
              <w:rPr>
                <w:highlight w:val="white"/>
              </w:rPr>
              <w:t>Data Dictionary</w:t>
            </w:r>
          </w:p>
        </w:tc>
        <w:tc>
          <w:tcPr>
            <w:tcW w:w="5675" w:type="dxa"/>
            <w:tcBorders>
              <w:bottom w:val="single" w:sz="8" w:space="0" w:color="000000"/>
              <w:right w:val="single" w:sz="8" w:space="0" w:color="000000"/>
            </w:tcBorders>
            <w:tcMar>
              <w:top w:w="100" w:type="dxa"/>
              <w:left w:w="100" w:type="dxa"/>
              <w:bottom w:w="100" w:type="dxa"/>
              <w:right w:w="100" w:type="dxa"/>
            </w:tcMar>
          </w:tcPr>
          <w:p w14:paraId="210CA2BF" w14:textId="77777777" w:rsidR="003A6410" w:rsidRDefault="003A6410" w:rsidP="00247FE9">
            <w:pPr>
              <w:rPr>
                <w:highlight w:val="white"/>
              </w:rPr>
            </w:pPr>
            <w:r>
              <w:rPr>
                <w:highlight w:val="white"/>
              </w:rPr>
              <w:t xml:space="preserve">Contains a set of information describing the contents, format, and structure of a database and the relationship between its elements, used to control access to and manipulation of the database. </w:t>
            </w:r>
          </w:p>
        </w:tc>
        <w:tc>
          <w:tcPr>
            <w:tcW w:w="1080" w:type="dxa"/>
            <w:tcBorders>
              <w:bottom w:val="single" w:sz="8" w:space="0" w:color="000000"/>
              <w:right w:val="single" w:sz="8" w:space="0" w:color="000000"/>
            </w:tcBorders>
            <w:tcMar>
              <w:top w:w="100" w:type="dxa"/>
              <w:left w:w="100" w:type="dxa"/>
              <w:bottom w:w="100" w:type="dxa"/>
              <w:right w:w="100" w:type="dxa"/>
            </w:tcMar>
          </w:tcPr>
          <w:p w14:paraId="7CCC2DFC" w14:textId="77777777" w:rsidR="003A6410" w:rsidRDefault="003A6410" w:rsidP="00247FE9">
            <w:pPr>
              <w:jc w:val="center"/>
              <w:rPr>
                <w:highlight w:val="white"/>
              </w:rPr>
            </w:pPr>
            <w:r>
              <w:rPr>
                <w:highlight w:val="white"/>
              </w:rPr>
              <w:t>X</w:t>
            </w:r>
          </w:p>
        </w:tc>
        <w:tc>
          <w:tcPr>
            <w:tcW w:w="1260" w:type="dxa"/>
            <w:tcBorders>
              <w:bottom w:val="single" w:sz="8" w:space="0" w:color="000000"/>
              <w:right w:val="single" w:sz="8" w:space="0" w:color="000000"/>
            </w:tcBorders>
            <w:tcMar>
              <w:top w:w="100" w:type="dxa"/>
              <w:left w:w="100" w:type="dxa"/>
              <w:bottom w:w="100" w:type="dxa"/>
              <w:right w:w="100" w:type="dxa"/>
            </w:tcMar>
          </w:tcPr>
          <w:p w14:paraId="400D0A04" w14:textId="77777777" w:rsidR="003A6410" w:rsidRDefault="003A6410" w:rsidP="00247FE9">
            <w:pPr>
              <w:jc w:val="center"/>
              <w:rPr>
                <w:highlight w:val="white"/>
              </w:rPr>
            </w:pPr>
            <w:r>
              <w:rPr>
                <w:highlight w:val="white"/>
              </w:rPr>
              <w:t>X</w:t>
            </w:r>
          </w:p>
        </w:tc>
      </w:tr>
    </w:tbl>
    <w:p w14:paraId="50D956D4" w14:textId="77777777" w:rsidR="003A6410" w:rsidRDefault="003A6410" w:rsidP="003A6410">
      <w:pPr>
        <w:rPr>
          <w:color w:val="333333"/>
          <w:highlight w:val="white"/>
        </w:rPr>
      </w:pPr>
    </w:p>
    <w:p w14:paraId="3CE4E28D" w14:textId="77777777" w:rsidR="003A6410" w:rsidRDefault="003A6410" w:rsidP="003A6410">
      <w:pPr>
        <w:rPr>
          <w:color w:val="333333"/>
          <w:highlight w:val="white"/>
        </w:rPr>
      </w:pPr>
      <w:r>
        <w:rPr>
          <w:color w:val="333333"/>
          <w:highlight w:val="white"/>
        </w:rPr>
        <w:t xml:space="preserve"> </w:t>
      </w:r>
    </w:p>
    <w:p w14:paraId="33D40567" w14:textId="77777777" w:rsidR="003A6410" w:rsidRDefault="003A6410" w:rsidP="003A6410">
      <w:pPr>
        <w:spacing w:before="240" w:after="240"/>
      </w:pPr>
      <w:r>
        <w:rPr>
          <w:color w:val="333333"/>
          <w:highlight w:val="white"/>
        </w:rPr>
        <w:t xml:space="preserve">The following education organizations worked collaboratively on the EADM project providing insight, suggestions, expertise, and guidance for </w:t>
      </w:r>
      <w:r>
        <w:t>the use case, analytics, and visualizations:</w:t>
      </w:r>
    </w:p>
    <w:p w14:paraId="67E01383" w14:textId="77777777" w:rsidR="003A6410" w:rsidRDefault="003A6410" w:rsidP="003A6410">
      <w:pPr>
        <w:numPr>
          <w:ilvl w:val="0"/>
          <w:numId w:val="1"/>
        </w:numPr>
        <w:spacing w:before="120" w:after="0" w:line="276" w:lineRule="auto"/>
      </w:pPr>
      <w:r>
        <w:t xml:space="preserve">Metro Nashville Public Schools, TN – Lead District </w:t>
      </w:r>
    </w:p>
    <w:p w14:paraId="1A59734A" w14:textId="5D2BC51A" w:rsidR="003A6410" w:rsidRDefault="003A6410" w:rsidP="003A6410">
      <w:pPr>
        <w:numPr>
          <w:ilvl w:val="0"/>
          <w:numId w:val="1"/>
        </w:numPr>
        <w:spacing w:after="0" w:line="276" w:lineRule="auto"/>
      </w:pPr>
      <w:r>
        <w:t>Farmington Schools, NM – Partner District</w:t>
      </w:r>
    </w:p>
    <w:p w14:paraId="7335608A" w14:textId="2D4E03D8" w:rsidR="006D4A8B" w:rsidRDefault="006D4A8B" w:rsidP="003A6410">
      <w:pPr>
        <w:numPr>
          <w:ilvl w:val="0"/>
          <w:numId w:val="1"/>
        </w:numPr>
        <w:spacing w:after="0" w:line="276" w:lineRule="auto"/>
      </w:pPr>
      <w:r>
        <w:t>Jeffco Public Schools, CO – Partner District</w:t>
      </w:r>
    </w:p>
    <w:p w14:paraId="74A8AA88" w14:textId="77777777" w:rsidR="003A6410" w:rsidRDefault="003A6410" w:rsidP="003A6410">
      <w:pPr>
        <w:numPr>
          <w:ilvl w:val="0"/>
          <w:numId w:val="1"/>
        </w:numPr>
        <w:spacing w:after="0" w:line="276" w:lineRule="auto"/>
      </w:pPr>
      <w:r>
        <w:t xml:space="preserve">Los Alamos Schools, NM – Partner District </w:t>
      </w:r>
    </w:p>
    <w:p w14:paraId="05A31CA5" w14:textId="77777777" w:rsidR="003A6410" w:rsidRDefault="003A6410" w:rsidP="003A6410">
      <w:pPr>
        <w:numPr>
          <w:ilvl w:val="0"/>
          <w:numId w:val="1"/>
        </w:numPr>
        <w:spacing w:after="0" w:line="276" w:lineRule="auto"/>
      </w:pPr>
      <w:r>
        <w:t xml:space="preserve">Rio Rancho Public Schools, NM – Partner District </w:t>
      </w:r>
    </w:p>
    <w:p w14:paraId="5D8E9585" w14:textId="77777777" w:rsidR="003A6410" w:rsidRDefault="003A6410" w:rsidP="003A6410">
      <w:pPr>
        <w:numPr>
          <w:ilvl w:val="0"/>
          <w:numId w:val="1"/>
        </w:numPr>
        <w:spacing w:after="0" w:line="276" w:lineRule="auto"/>
      </w:pPr>
      <w:r>
        <w:t>Tulsa Public Schools, OK – Partner District</w:t>
      </w:r>
    </w:p>
    <w:p w14:paraId="420AF645" w14:textId="77777777" w:rsidR="003A6410" w:rsidRDefault="003A6410" w:rsidP="003A6410">
      <w:pPr>
        <w:numPr>
          <w:ilvl w:val="0"/>
          <w:numId w:val="1"/>
        </w:numPr>
        <w:spacing w:after="0" w:line="276" w:lineRule="auto"/>
      </w:pPr>
      <w:r>
        <w:t>Yes Prep Schools, TX - Partner District</w:t>
      </w:r>
    </w:p>
    <w:p w14:paraId="39967E92" w14:textId="77777777" w:rsidR="003A6410" w:rsidRDefault="003A6410" w:rsidP="003A6410">
      <w:pPr>
        <w:spacing w:line="276" w:lineRule="auto"/>
        <w:ind w:left="720"/>
      </w:pPr>
    </w:p>
    <w:p w14:paraId="416C0260" w14:textId="77777777" w:rsidR="003A6410" w:rsidRPr="00B02FA9" w:rsidRDefault="003A6410" w:rsidP="003A6410">
      <w:pPr>
        <w:spacing w:line="276" w:lineRule="auto"/>
        <w:rPr>
          <w:color w:val="333333"/>
          <w:sz w:val="2"/>
          <w:szCs w:val="2"/>
          <w:highlight w:val="white"/>
        </w:rPr>
      </w:pPr>
      <w:r>
        <w:rPr>
          <w:color w:val="333333"/>
          <w:highlight w:val="white"/>
        </w:rPr>
        <w:t>Special thanks go to the members of Ed-Fi, who served as reviewers and experts in completing this work.  Thank you to the Michael &amp; Susan Dell Foundation for funding the EADM project.</w:t>
      </w:r>
    </w:p>
    <w:p w14:paraId="35F17C77" w14:textId="22F38C8A" w:rsidR="003A6410" w:rsidRPr="00B02FA9" w:rsidRDefault="003A6410">
      <w:pPr>
        <w:rPr>
          <w:color w:val="333333"/>
          <w:sz w:val="2"/>
          <w:szCs w:val="2"/>
          <w:highlight w:val="white"/>
        </w:rPr>
      </w:pPr>
    </w:p>
    <w:p w14:paraId="46C95869" w14:textId="7CC5650C" w:rsidR="003A6410" w:rsidRPr="00B02FA9" w:rsidRDefault="003A6410" w:rsidP="003A6410">
      <w:pPr>
        <w:rPr>
          <w:sz w:val="2"/>
          <w:szCs w:val="2"/>
        </w:rPr>
      </w:pPr>
    </w:p>
    <w:sectPr w:rsidR="003A6410" w:rsidRPr="00B02FA9" w:rsidSect="00925057">
      <w:headerReference w:type="default" r:id="rId9"/>
      <w:pgSz w:w="12240" w:h="15840"/>
      <w:pgMar w:top="1440" w:right="1440" w:bottom="1440" w:left="144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D04C" w14:textId="77777777" w:rsidR="00975ADE" w:rsidRDefault="00975ADE" w:rsidP="003A6410">
      <w:pPr>
        <w:spacing w:after="0" w:line="240" w:lineRule="auto"/>
      </w:pPr>
      <w:r>
        <w:separator/>
      </w:r>
    </w:p>
  </w:endnote>
  <w:endnote w:type="continuationSeparator" w:id="0">
    <w:p w14:paraId="1D1FAA9B" w14:textId="77777777" w:rsidR="00975ADE" w:rsidRDefault="00975ADE" w:rsidP="003A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8601"/>
      <w:docPartObj>
        <w:docPartGallery w:val="Page Numbers (Bottom of Page)"/>
        <w:docPartUnique/>
      </w:docPartObj>
    </w:sdtPr>
    <w:sdtEndPr>
      <w:rPr>
        <w:color w:val="7F7F7F" w:themeColor="background1" w:themeShade="7F"/>
        <w:spacing w:val="60"/>
      </w:rPr>
    </w:sdtEndPr>
    <w:sdtContent>
      <w:p w14:paraId="786FB7B0" w14:textId="626951B9" w:rsidR="00F1227E" w:rsidRDefault="00F12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96491D" w14:textId="77777777" w:rsidR="00F1227E" w:rsidRDefault="00F1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000D" w14:textId="77777777" w:rsidR="00975ADE" w:rsidRDefault="00975ADE" w:rsidP="003A6410">
      <w:pPr>
        <w:spacing w:after="0" w:line="240" w:lineRule="auto"/>
      </w:pPr>
      <w:bookmarkStart w:id="0" w:name="_Hlk36565558"/>
      <w:bookmarkEnd w:id="0"/>
      <w:r>
        <w:separator/>
      </w:r>
    </w:p>
  </w:footnote>
  <w:footnote w:type="continuationSeparator" w:id="0">
    <w:p w14:paraId="3CAEDE3C" w14:textId="77777777" w:rsidR="00975ADE" w:rsidRDefault="00975ADE" w:rsidP="003A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5FD2" w14:textId="51648677" w:rsidR="003A6410" w:rsidRDefault="00F1227E" w:rsidP="003A6410">
    <w:pPr>
      <w:pStyle w:val="Header"/>
      <w:ind w:left="-720"/>
    </w:pPr>
    <w:r>
      <w:t xml:space="preserve">     </w:t>
    </w:r>
  </w:p>
  <w:p w14:paraId="59E12489" w14:textId="77777777" w:rsidR="003A6410" w:rsidRDefault="003A6410" w:rsidP="003A6410">
    <w:pPr>
      <w:pStyle w:val="Header"/>
      <w:ind w:left="-720"/>
    </w:pPr>
  </w:p>
  <w:p w14:paraId="03F46079" w14:textId="77777777" w:rsidR="00F1227E" w:rsidRPr="00655AFD" w:rsidRDefault="00F1227E" w:rsidP="00F1227E">
    <w:pPr>
      <w:tabs>
        <w:tab w:val="center" w:pos="4680"/>
        <w:tab w:val="right" w:pos="9360"/>
      </w:tabs>
      <w:spacing w:after="0"/>
      <w:rPr>
        <w:rFonts w:eastAsia="Calibri" w:cs="Times New Roman"/>
        <w:bCs/>
        <w:lang w:eastAsia="en-US"/>
      </w:rPr>
    </w:pPr>
    <w:r w:rsidRPr="00655AFD">
      <w:rPr>
        <w:rFonts w:ascii="Arial" w:eastAsia="Calibri" w:hAnsi="Arial"/>
        <w:bCs/>
        <w:noProof/>
        <w:color w:val="000000"/>
      </w:rPr>
      <w:drawing>
        <wp:anchor distT="0" distB="0" distL="114300" distR="114300" simplePos="0" relativeHeight="251659264" behindDoc="0" locked="0" layoutInCell="1" allowOverlap="1" wp14:anchorId="2D49C509" wp14:editId="0218A997">
          <wp:simplePos x="0" y="0"/>
          <wp:positionH relativeFrom="column">
            <wp:posOffset>-681355</wp:posOffset>
          </wp:positionH>
          <wp:positionV relativeFrom="paragraph">
            <wp:posOffset>-338455</wp:posOffset>
          </wp:positionV>
          <wp:extent cx="742950" cy="742950"/>
          <wp:effectExtent l="0" t="0" r="0" b="0"/>
          <wp:wrapSquare wrapText="bothSides"/>
          <wp:docPr id="5" name="Picture 5" descr="https://lh4.googleusercontent.com/foT3lC7ur9itcclKsH0uxLoo5dfXvczj5x9EZVwe4EAsdy5i-3-vpVm6OUZvEXsFyEj44Igsa8Z6kyFWA2zZSghgrEg2Q3iYZyirw2PvxECFap3I1kyp8t7zUD0vjJ-R-fUqtv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oT3lC7ur9itcclKsH0uxLoo5dfXvczj5x9EZVwe4EAsdy5i-3-vpVm6OUZvEXsFyEj44Igsa8Z6kyFWA2zZSghgrEg2Q3iYZyirw2PvxECFap3I1kyp8t7zUD0vjJ-R-fUqtvO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AFD">
      <w:rPr>
        <w:rFonts w:eastAsia="Calibri" w:cs="Times New Roman"/>
        <w:lang w:eastAsia="en-US"/>
      </w:rPr>
      <w:t xml:space="preserve">Effective Assessment Data Management </w:t>
    </w:r>
  </w:p>
  <w:p w14:paraId="5125AC24" w14:textId="18876C48" w:rsidR="00F1227E" w:rsidRPr="00655AFD" w:rsidRDefault="00F1227E" w:rsidP="00F1227E">
    <w:pPr>
      <w:tabs>
        <w:tab w:val="center" w:pos="4680"/>
        <w:tab w:val="right" w:pos="9360"/>
      </w:tabs>
      <w:spacing w:after="0"/>
      <w:rPr>
        <w:rFonts w:eastAsia="Calibri" w:cs="Times New Roman"/>
        <w:bCs/>
        <w:i/>
        <w:lang w:eastAsia="en-US"/>
      </w:rPr>
    </w:pPr>
    <w:r>
      <w:rPr>
        <w:rFonts w:eastAsia="Calibri" w:cs="Times New Roman"/>
        <w:i/>
        <w:lang w:eastAsia="en-US"/>
      </w:rPr>
      <w:t>EQ #21 – Read Me First</w:t>
    </w:r>
  </w:p>
  <w:p w14:paraId="70D4EBB3" w14:textId="77777777" w:rsidR="003A6410" w:rsidRDefault="003A6410" w:rsidP="003A641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B055C"/>
    <w:multiLevelType w:val="multilevel"/>
    <w:tmpl w:val="7206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3B2234"/>
    <w:multiLevelType w:val="multilevel"/>
    <w:tmpl w:val="DC88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10"/>
    <w:rsid w:val="001F17A9"/>
    <w:rsid w:val="003A6410"/>
    <w:rsid w:val="00537BCF"/>
    <w:rsid w:val="006D4A8B"/>
    <w:rsid w:val="0080728C"/>
    <w:rsid w:val="008B14D6"/>
    <w:rsid w:val="00925057"/>
    <w:rsid w:val="00974E88"/>
    <w:rsid w:val="00975ADE"/>
    <w:rsid w:val="00A56F14"/>
    <w:rsid w:val="00B02FA9"/>
    <w:rsid w:val="00B864A2"/>
    <w:rsid w:val="00C74885"/>
    <w:rsid w:val="00CE26F2"/>
    <w:rsid w:val="00F12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5431"/>
  <w15:chartTrackingRefBased/>
  <w15:docId w15:val="{1F22ADD3-988B-4826-9D39-E273926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410"/>
    <w:pPr>
      <w:keepNext/>
      <w:keepLines/>
      <w:spacing w:before="240" w:after="0" w:line="240" w:lineRule="auto"/>
      <w:outlineLvl w:val="0"/>
    </w:pPr>
    <w:rPr>
      <w:rFonts w:ascii="Calibri" w:eastAsia="Calibri" w:hAnsi="Calibri" w:cs="Calibr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10"/>
  </w:style>
  <w:style w:type="paragraph" w:styleId="Footer">
    <w:name w:val="footer"/>
    <w:basedOn w:val="Normal"/>
    <w:link w:val="FooterChar"/>
    <w:uiPriority w:val="99"/>
    <w:unhideWhenUsed/>
    <w:rsid w:val="003A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10"/>
  </w:style>
  <w:style w:type="character" w:customStyle="1" w:styleId="Heading1Char">
    <w:name w:val="Heading 1 Char"/>
    <w:basedOn w:val="DefaultParagraphFont"/>
    <w:link w:val="Heading1"/>
    <w:uiPriority w:val="9"/>
    <w:rsid w:val="003A6410"/>
    <w:rPr>
      <w:rFonts w:ascii="Calibri" w:eastAsia="Calibri" w:hAnsi="Calibri" w:cs="Calibr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dc:creator>
  <cp:keywords/>
  <dc:description/>
  <cp:lastModifiedBy>Shannon Kerlick</cp:lastModifiedBy>
  <cp:revision>10</cp:revision>
  <dcterms:created xsi:type="dcterms:W3CDTF">2020-03-31T20:32:00Z</dcterms:created>
  <dcterms:modified xsi:type="dcterms:W3CDTF">2020-04-29T19:47:00Z</dcterms:modified>
</cp:coreProperties>
</file>